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F3AD81">
      <w:pPr>
        <w:spacing w:line="300" w:lineRule="auto"/>
        <w:ind w:firstLine="480"/>
        <w:rPr>
          <w:rFonts w:ascii="Times New Roman" w:hAnsi="Times New Roman" w:eastAsia="黑体"/>
          <w:sz w:val="36"/>
          <w:szCs w:val="36"/>
        </w:rPr>
      </w:pPr>
      <w:r>
        <w:rPr>
          <w:rFonts w:ascii="黑体" w:hAnsi="黑体" w:eastAsia="黑体" w:cs="黑体"/>
          <w:sz w:val="32"/>
          <w:szCs w:val="32"/>
        </w:rPr>
        <w:t>附件</w:t>
      </w:r>
      <w:r>
        <w:rPr>
          <w:rFonts w:hint="eastAsia" w:ascii="黑体" w:hAnsi="黑体" w:eastAsia="黑体" w:cs="黑体"/>
          <w:sz w:val="32"/>
          <w:szCs w:val="32"/>
        </w:rPr>
        <w:t>5</w:t>
      </w:r>
    </w:p>
    <w:p w14:paraId="08974279">
      <w:pPr>
        <w:spacing w:before="312" w:beforeLines="100" w:after="312" w:afterLines="100"/>
        <w:ind w:firstLine="480"/>
        <w:jc w:val="center"/>
        <w:rPr>
          <w:rFonts w:ascii="Times New Roman" w:hAnsi="Times New Roman" w:eastAsia="方正小标宋简体"/>
          <w:sz w:val="36"/>
          <w:szCs w:val="36"/>
        </w:rPr>
      </w:pPr>
      <w:r>
        <w:rPr>
          <w:rFonts w:ascii="Times New Roman" w:hAnsi="Times New Roman" w:eastAsia="方正小标宋简体"/>
          <w:sz w:val="36"/>
          <w:szCs w:val="36"/>
        </w:rPr>
        <w:t>地方标准《</w:t>
      </w:r>
      <w:r>
        <w:rPr>
          <w:rFonts w:hint="eastAsia" w:ascii="Times New Roman" w:hAnsi="Times New Roman" w:eastAsia="方正小标宋简体"/>
          <w:sz w:val="36"/>
          <w:szCs w:val="36"/>
        </w:rPr>
        <w:t>中医医院老年病科病房适老化服务规范</w:t>
      </w:r>
      <w:r>
        <w:rPr>
          <w:rFonts w:ascii="Times New Roman" w:hAnsi="Times New Roman" w:eastAsia="方正小标宋简体"/>
          <w:sz w:val="36"/>
          <w:szCs w:val="36"/>
        </w:rPr>
        <w:t>》编制说明</w:t>
      </w:r>
      <w:bookmarkStart w:id="0" w:name="_GoBack"/>
      <w:bookmarkEnd w:id="0"/>
    </w:p>
    <w:p w14:paraId="689C603E">
      <w:pPr>
        <w:spacing w:before="312" w:beforeLines="100" w:after="312" w:afterLines="100"/>
        <w:ind w:firstLine="3080" w:firstLineChars="1100"/>
        <w:rPr>
          <w:rFonts w:ascii="楷体_GB2312" w:hAnsi="Times New Roman" w:eastAsia="楷体_GB2312"/>
          <w:sz w:val="28"/>
          <w:szCs w:val="28"/>
        </w:rPr>
      </w:pPr>
      <w:r>
        <w:rPr>
          <w:rFonts w:hint="eastAsia" w:ascii="楷体_GB2312" w:hAnsi="Times New Roman" w:eastAsia="楷体_GB2312"/>
          <w:sz w:val="28"/>
          <w:szCs w:val="28"/>
        </w:rPr>
        <w:t>（2025年2月）</w:t>
      </w:r>
    </w:p>
    <w:p w14:paraId="15147A3E">
      <w:pPr>
        <w:spacing w:before="156" w:beforeLines="50" w:after="156" w:afterLines="50"/>
        <w:ind w:firstLine="480"/>
        <w:rPr>
          <w:rFonts w:hint="eastAsia" w:ascii="黑体" w:hAnsi="黑体" w:eastAsia="黑体"/>
          <w:sz w:val="28"/>
          <w:szCs w:val="28"/>
        </w:rPr>
      </w:pPr>
      <w:r>
        <w:rPr>
          <w:rFonts w:ascii="黑体" w:hAnsi="黑体" w:eastAsia="黑体"/>
          <w:sz w:val="28"/>
          <w:szCs w:val="28"/>
        </w:rPr>
        <w:t>一、工作简况</w:t>
      </w:r>
    </w:p>
    <w:p w14:paraId="51D2C7D1">
      <w:pPr>
        <w:ind w:firstLine="480"/>
        <w:rPr>
          <w:rFonts w:ascii="Times New Roman" w:hAnsi="Times New Roman"/>
          <w:sz w:val="28"/>
          <w:szCs w:val="28"/>
        </w:rPr>
      </w:pPr>
      <w:r>
        <w:rPr>
          <w:rFonts w:hint="eastAsia" w:ascii="Times New Roman" w:hAnsi="Times New Roman"/>
          <w:sz w:val="28"/>
          <w:szCs w:val="28"/>
        </w:rPr>
        <w:t>1、任务来源</w:t>
      </w:r>
    </w:p>
    <w:p w14:paraId="740701AD">
      <w:pPr>
        <w:ind w:firstLine="480"/>
        <w:rPr>
          <w:rFonts w:hint="eastAsia" w:ascii="Times New Roman" w:hAnsi="Times New Roman"/>
          <w:sz w:val="28"/>
          <w:szCs w:val="28"/>
        </w:rPr>
      </w:pPr>
      <w:r>
        <w:rPr>
          <w:rFonts w:hint="eastAsia" w:ascii="Times New Roman" w:hAnsi="Times New Roman"/>
          <w:sz w:val="28"/>
          <w:szCs w:val="28"/>
        </w:rPr>
        <w:t>本地方标准项目依据广东省市场监督管理局于2024年12月6日印发的《下达2024年广东省地方标准制修订计划（第五批）的通知》（粤市监标准〔2024〕532号）立项。</w:t>
      </w:r>
    </w:p>
    <w:p w14:paraId="6600EC72">
      <w:pPr>
        <w:ind w:firstLine="480"/>
        <w:rPr>
          <w:rFonts w:ascii="Times New Roman" w:hAnsi="Times New Roman"/>
          <w:sz w:val="28"/>
          <w:szCs w:val="28"/>
        </w:rPr>
      </w:pPr>
      <w:r>
        <w:rPr>
          <w:rFonts w:ascii="Times New Roman" w:hAnsi="Times New Roman"/>
          <w:sz w:val="28"/>
          <w:szCs w:val="28"/>
        </w:rPr>
        <w:t>2</w:t>
      </w:r>
      <w:r>
        <w:rPr>
          <w:rFonts w:hint="eastAsia" w:ascii="Times New Roman" w:hAnsi="Times New Roman"/>
          <w:sz w:val="28"/>
          <w:szCs w:val="28"/>
        </w:rPr>
        <w:t>、背景与意义</w:t>
      </w:r>
    </w:p>
    <w:p w14:paraId="27B0A1E4">
      <w:pPr>
        <w:ind w:firstLine="480"/>
        <w:rPr>
          <w:rFonts w:hint="eastAsia" w:ascii="Times New Roman"/>
          <w:sz w:val="28"/>
          <w:szCs w:val="28"/>
        </w:rPr>
      </w:pPr>
      <w:r>
        <w:rPr>
          <w:rFonts w:hint="eastAsia" w:ascii="Times New Roman"/>
          <w:sz w:val="28"/>
          <w:szCs w:val="28"/>
        </w:rPr>
        <w:t>国务院《“十四五”国家老龄事业发展和养老服务体系规划》（以下简称“规划”）指出，人口老龄化是人类社会发展的客观趋势，中央把积极应对人口老龄化上升为国家战略，我国老年人口规模大，老龄化速度快，老年人需求结构正在从生存型向发展型转变，老龄事业和养老服务还存在发展不平衡不充分等问题。《规划》建议增强医疗卫生机构为老服务能力，加强综合性医院老年医学科建设。</w:t>
      </w:r>
    </w:p>
    <w:p w14:paraId="752F14F2">
      <w:pPr>
        <w:ind w:firstLine="480"/>
        <w:rPr>
          <w:rFonts w:hint="eastAsia" w:ascii="Times New Roman"/>
          <w:sz w:val="28"/>
          <w:szCs w:val="28"/>
        </w:rPr>
      </w:pPr>
      <w:r>
        <w:rPr>
          <w:rFonts w:hint="eastAsia" w:ascii="Times New Roman"/>
          <w:sz w:val="28"/>
          <w:szCs w:val="28"/>
        </w:rPr>
        <w:t>为深入贯彻落实习近平总书记关于养老服务的重要指示精神，广东省陆续出台了《广东省人民政府关于加快发展养老服务业的实施意见》《广东省加快推进养老服务发展若干措施》等政策文件，广东省民政厅将构建“大养老服务”体系列入《广东民政事业发展“十四五”规划（2021-2025年）》“五大工作体系”发展指标和任务中，同时肯定了标准化在养老服务行业中的技术引领和支撑作用。国家中医药管理局《关于进一步加强中医医院老年病科建设的通知》，提出切实提高中医药服务老年健康的质量和水平，推动中医医院老年病科高质量发展。同时，建议中医医院应从文化、服务、环境等方面，加快老年友善医疗机构建设，方便老年人看病就医。</w:t>
      </w:r>
    </w:p>
    <w:p w14:paraId="01C81345">
      <w:pPr>
        <w:ind w:firstLine="480"/>
        <w:rPr>
          <w:rFonts w:hint="eastAsia" w:ascii="Times New Roman"/>
          <w:sz w:val="28"/>
          <w:szCs w:val="28"/>
        </w:rPr>
      </w:pPr>
      <w:r>
        <w:rPr>
          <w:rFonts w:hint="eastAsia" w:ascii="Times New Roman"/>
          <w:sz w:val="28"/>
          <w:szCs w:val="28"/>
        </w:rPr>
        <w:t>针对中医医院老年病科病房适老化服务标准，尚无专门的国家标准、行业标准及地方标准。其中，与养老服务体系相关的国家标准有《老年人、残疾人康复服务信息规范》《标准中特定内容的起草 第2部分:老年人和残疾人的需求》《居家养老上门服务基本规范》《老年人能力评估规范》《无障碍设计规范》《老年保健服务规范》《养老机构基本规范》《用于老年人生活辅助的智能家电系统 通用安全要求》等，与养老服务体系相关的行业标准有《老年人居家康复服务规范》《养老机构康复辅助器具基本配置》《老年人健康管理技术规范》《老年人膳食指导》等，与与养老服务体系相关的地方标准有《老年友善医疗机构建设规范》《医养结合机构医疗服务规范》等。</w:t>
      </w:r>
    </w:p>
    <w:p w14:paraId="3E28ADB7">
      <w:pPr>
        <w:ind w:firstLine="480"/>
        <w:rPr>
          <w:rFonts w:ascii="Times New Roman"/>
          <w:sz w:val="28"/>
          <w:szCs w:val="28"/>
        </w:rPr>
      </w:pPr>
      <w:r>
        <w:rPr>
          <w:rFonts w:hint="eastAsia" w:ascii="Times New Roman"/>
          <w:sz w:val="28"/>
          <w:szCs w:val="28"/>
        </w:rPr>
        <w:t>2022年9月印发了《广东省养老服务标准体系规划与路线图（2022-2026年）》，结合以上标准分析，养老服务管理体系的标准以居家养老、养老机构、老年人康复为主，缺乏医疗机构老年病科适老化服务的相关标准。</w:t>
      </w:r>
    </w:p>
    <w:p w14:paraId="57429697">
      <w:pPr>
        <w:ind w:firstLine="480"/>
        <w:rPr>
          <w:rFonts w:ascii="Times New Roman"/>
          <w:sz w:val="28"/>
          <w:szCs w:val="28"/>
        </w:rPr>
      </w:pPr>
      <w:r>
        <w:rPr>
          <w:rFonts w:hint="eastAsia" w:ascii="Times New Roman"/>
          <w:sz w:val="28"/>
          <w:szCs w:val="28"/>
        </w:rPr>
        <w:t>基于中医医院老年病科适老化建设的重要性及中医医院老年病科病房适老化服务标准内容的缺乏，特制定本标准。本标准相应标准或文献 、临床实践等，从老年病科适老化文化、环境、医疗服务方面，优化老年人医疗服务流程，解决老年人就医中遇到的困难，不断提升老年患者就医满意度，从而推进中医医院老年病科适老服务的建设。</w:t>
      </w:r>
    </w:p>
    <w:p w14:paraId="0A86068D">
      <w:pPr>
        <w:ind w:firstLine="480"/>
        <w:rPr>
          <w:rFonts w:ascii="Times New Roman" w:hAnsi="Times New Roman"/>
          <w:sz w:val="28"/>
          <w:szCs w:val="28"/>
        </w:rPr>
      </w:pPr>
      <w:r>
        <w:rPr>
          <w:rFonts w:ascii="Times New Roman" w:hAnsi="Times New Roman"/>
          <w:sz w:val="28"/>
          <w:szCs w:val="28"/>
        </w:rPr>
        <w:t>3</w:t>
      </w:r>
      <w:r>
        <w:rPr>
          <w:rFonts w:hint="eastAsia" w:ascii="Times New Roman" w:hAnsi="Times New Roman"/>
          <w:sz w:val="28"/>
          <w:szCs w:val="28"/>
        </w:rPr>
        <w:t>、工作过程概况</w:t>
      </w:r>
    </w:p>
    <w:p w14:paraId="4477E046">
      <w:pPr>
        <w:ind w:firstLine="480"/>
        <w:rPr>
          <w:rFonts w:ascii="Times New Roman"/>
          <w:sz w:val="28"/>
          <w:szCs w:val="28"/>
        </w:rPr>
      </w:pPr>
      <w:r>
        <w:rPr>
          <w:rFonts w:hint="eastAsia" w:ascii="Times New Roman"/>
          <w:sz w:val="28"/>
          <w:szCs w:val="28"/>
        </w:rPr>
        <w:t>本项目由广东省中医药局提出。项目的主导单位是广东省中医院，主要负责标准的起草、征集意见、技术审查、报批等。</w:t>
      </w:r>
    </w:p>
    <w:p w14:paraId="037AC7C2">
      <w:pPr>
        <w:ind w:firstLine="480"/>
        <w:rPr>
          <w:rFonts w:hint="eastAsia" w:ascii="Times New Roman" w:eastAsia="宋体"/>
          <w:sz w:val="28"/>
          <w:szCs w:val="28"/>
          <w:lang w:eastAsia="zh-CN"/>
        </w:rPr>
      </w:pPr>
      <w:r>
        <w:rPr>
          <w:rFonts w:hint="eastAsia" w:ascii="Times New Roman"/>
          <w:sz w:val="28"/>
          <w:szCs w:val="28"/>
        </w:rPr>
        <w:t>项目组成员包括李际强、林俏丽、蔡倩、刘娜、黄颖、张溪、陈剑坤、叶康杰、耿金花、陈丽琴、邬欣桃、温凯甜、郑智翔、彭继海、林晓忠、吴少霞</w:t>
      </w:r>
      <w:r>
        <w:rPr>
          <w:rFonts w:hint="eastAsia" w:ascii="Times New Roman"/>
          <w:sz w:val="28"/>
          <w:szCs w:val="28"/>
          <w:lang w:eastAsia="zh-CN"/>
        </w:rPr>
        <w:t>。</w:t>
      </w:r>
    </w:p>
    <w:p w14:paraId="2EF4AE2A">
      <w:pPr>
        <w:ind w:firstLine="480"/>
        <w:rPr>
          <w:rFonts w:hint="eastAsia" w:ascii="Times New Roman" w:eastAsia="宋体"/>
          <w:sz w:val="28"/>
          <w:szCs w:val="28"/>
          <w:lang w:eastAsia="zh-CN"/>
        </w:rPr>
      </w:pPr>
      <w:r>
        <w:rPr>
          <w:rFonts w:hint="eastAsia" w:ascii="Times New Roman"/>
          <w:sz w:val="28"/>
          <w:szCs w:val="28"/>
        </w:rPr>
        <w:t>2025年02月10日项目完成起草征求意见稿</w:t>
      </w:r>
      <w:r>
        <w:rPr>
          <w:rFonts w:hint="eastAsia" w:ascii="Times New Roman"/>
          <w:sz w:val="28"/>
          <w:szCs w:val="28"/>
          <w:lang w:eastAsia="zh-CN"/>
        </w:rPr>
        <w:t>。</w:t>
      </w:r>
    </w:p>
    <w:p w14:paraId="4991C932">
      <w:pPr>
        <w:ind w:firstLine="480"/>
        <w:rPr>
          <w:rFonts w:hint="eastAsia" w:ascii="Times New Roman" w:eastAsia="宋体"/>
          <w:sz w:val="28"/>
          <w:szCs w:val="28"/>
          <w:lang w:eastAsia="zh-CN"/>
        </w:rPr>
      </w:pPr>
      <w:r>
        <w:rPr>
          <w:rFonts w:ascii="Times New Roman"/>
          <w:sz w:val="28"/>
          <w:szCs w:val="28"/>
        </w:rPr>
        <w:t>20</w:t>
      </w:r>
      <w:r>
        <w:rPr>
          <w:rFonts w:hint="eastAsia" w:ascii="Times New Roman"/>
          <w:sz w:val="28"/>
          <w:szCs w:val="28"/>
        </w:rPr>
        <w:t>25</w:t>
      </w:r>
      <w:r>
        <w:rPr>
          <w:rFonts w:ascii="Times New Roman"/>
          <w:sz w:val="28"/>
          <w:szCs w:val="28"/>
        </w:rPr>
        <w:t>年</w:t>
      </w:r>
      <w:r>
        <w:rPr>
          <w:rFonts w:hint="eastAsia" w:ascii="Times New Roman"/>
          <w:sz w:val="28"/>
          <w:szCs w:val="28"/>
        </w:rPr>
        <w:t>2</w:t>
      </w:r>
      <w:r>
        <w:rPr>
          <w:rFonts w:ascii="Times New Roman"/>
          <w:sz w:val="28"/>
          <w:szCs w:val="28"/>
        </w:rPr>
        <w:t>月</w:t>
      </w:r>
      <w:r>
        <w:rPr>
          <w:rFonts w:hint="eastAsia" w:ascii="Times New Roman"/>
          <w:sz w:val="28"/>
          <w:szCs w:val="28"/>
        </w:rPr>
        <w:t>26</w:t>
      </w:r>
      <w:r>
        <w:rPr>
          <w:rFonts w:ascii="Times New Roman"/>
          <w:sz w:val="28"/>
          <w:szCs w:val="28"/>
        </w:rPr>
        <w:t>日</w:t>
      </w:r>
      <w:r>
        <w:rPr>
          <w:rFonts w:hint="eastAsia" w:ascii="Times New Roman"/>
          <w:sz w:val="28"/>
          <w:szCs w:val="28"/>
        </w:rPr>
        <w:t>～2025年03月27日</w:t>
      </w:r>
      <w:r>
        <w:rPr>
          <w:rFonts w:ascii="Times New Roman"/>
          <w:sz w:val="28"/>
          <w:szCs w:val="28"/>
        </w:rPr>
        <w:t>项目完成</w:t>
      </w:r>
      <w:r>
        <w:rPr>
          <w:rFonts w:hint="eastAsia" w:ascii="Times New Roman"/>
          <w:sz w:val="28"/>
          <w:szCs w:val="28"/>
        </w:rPr>
        <w:t>征求意见</w:t>
      </w:r>
      <w:r>
        <w:rPr>
          <w:rFonts w:hint="eastAsia" w:ascii="Times New Roman"/>
          <w:sz w:val="28"/>
          <w:szCs w:val="28"/>
          <w:lang w:eastAsia="zh-CN"/>
        </w:rPr>
        <w:t>。</w:t>
      </w:r>
    </w:p>
    <w:p w14:paraId="3FA05124">
      <w:pPr>
        <w:ind w:firstLine="480"/>
        <w:rPr>
          <w:rFonts w:ascii="Times New Roman"/>
          <w:sz w:val="28"/>
          <w:szCs w:val="28"/>
        </w:rPr>
      </w:pPr>
      <w:r>
        <w:rPr>
          <w:rFonts w:ascii="Times New Roman"/>
          <w:sz w:val="28"/>
          <w:szCs w:val="28"/>
        </w:rPr>
        <w:t>20</w:t>
      </w:r>
      <w:r>
        <w:rPr>
          <w:rFonts w:hint="eastAsia" w:ascii="Times New Roman"/>
          <w:sz w:val="28"/>
          <w:szCs w:val="28"/>
        </w:rPr>
        <w:t>25</w:t>
      </w:r>
      <w:r>
        <w:rPr>
          <w:rFonts w:ascii="Times New Roman"/>
          <w:sz w:val="28"/>
          <w:szCs w:val="28"/>
        </w:rPr>
        <w:t>年</w:t>
      </w:r>
      <w:r>
        <w:rPr>
          <w:rFonts w:hint="eastAsia" w:ascii="Times New Roman"/>
          <w:sz w:val="28"/>
          <w:szCs w:val="28"/>
        </w:rPr>
        <w:t>3</w:t>
      </w:r>
      <w:r>
        <w:rPr>
          <w:rFonts w:ascii="Times New Roman"/>
          <w:sz w:val="28"/>
          <w:szCs w:val="28"/>
        </w:rPr>
        <w:t>月</w:t>
      </w:r>
      <w:r>
        <w:rPr>
          <w:rFonts w:hint="eastAsia" w:ascii="Times New Roman"/>
          <w:sz w:val="28"/>
          <w:szCs w:val="28"/>
        </w:rPr>
        <w:t>28</w:t>
      </w:r>
      <w:r>
        <w:rPr>
          <w:rFonts w:ascii="Times New Roman"/>
          <w:sz w:val="28"/>
          <w:szCs w:val="28"/>
        </w:rPr>
        <w:t>日</w:t>
      </w:r>
      <w:r>
        <w:rPr>
          <w:rFonts w:hint="eastAsia" w:ascii="Times New Roman"/>
          <w:sz w:val="28"/>
          <w:szCs w:val="28"/>
        </w:rPr>
        <w:t>项目</w:t>
      </w:r>
      <w:r>
        <w:rPr>
          <w:rFonts w:hint="eastAsia" w:ascii="Times New Roman"/>
          <w:sz w:val="28"/>
          <w:szCs w:val="28"/>
          <w:lang w:val="en-US" w:eastAsia="zh-CN"/>
        </w:rPr>
        <w:t>完成</w:t>
      </w:r>
      <w:r>
        <w:rPr>
          <w:rFonts w:hint="eastAsia" w:ascii="Times New Roman"/>
          <w:sz w:val="28"/>
          <w:szCs w:val="28"/>
        </w:rPr>
        <w:t>送审。</w:t>
      </w:r>
    </w:p>
    <w:p w14:paraId="3F9BDE09">
      <w:pPr>
        <w:spacing w:before="156" w:beforeLines="50" w:after="156" w:afterLines="50"/>
        <w:ind w:firstLine="480"/>
        <w:rPr>
          <w:rFonts w:ascii="黑体" w:hAnsi="黑体" w:eastAsia="黑体"/>
          <w:sz w:val="28"/>
          <w:szCs w:val="28"/>
        </w:rPr>
      </w:pPr>
      <w:r>
        <w:rPr>
          <w:rFonts w:ascii="黑体" w:hAnsi="黑体" w:eastAsia="黑体"/>
          <w:sz w:val="28"/>
          <w:szCs w:val="28"/>
        </w:rPr>
        <w:t>二、标准编制原则</w:t>
      </w:r>
    </w:p>
    <w:p w14:paraId="09018FDB">
      <w:pPr>
        <w:spacing w:after="156" w:afterLines="50"/>
        <w:ind w:firstLine="480"/>
        <w:rPr>
          <w:rFonts w:hint="eastAsia" w:ascii="宋体" w:hAnsi="宋体"/>
          <w:sz w:val="28"/>
          <w:szCs w:val="28"/>
        </w:rPr>
      </w:pPr>
      <w:r>
        <w:rPr>
          <w:rFonts w:hint="eastAsia" w:ascii="宋体" w:hAnsi="宋体"/>
          <w:sz w:val="28"/>
          <w:szCs w:val="28"/>
        </w:rPr>
        <w:t>标准编制过程主要遵循以下原则。以老年患者为中心：标准编制应以老年患者的生理、心理需求为核心，确保服务规范人性化、细致化，提升老年患者的就医体验和生活质量。突出中医特色：标准应体现中医医院在老年病治疗中的独特优势，如中医药、针灸、推拿等传统疗法，结合现代医学，形成中西医结合的适老化服务模式。适老化设计与服务并重：标准应涵盖病房的适老化设计（如无障碍设施、安全防护）和服务流程的适老化改造，确保硬件设施和服务流程均符合老年人需求。安全性与舒适性兼顾：标准应确保老年患者的安全，防止跌倒、感染等风险，同时注重提升病房环境的舒适度，营造温馨、安全的就医环境。符合地方特色：标准应结合广东省的地域特点、文化背景和老年人口的实际需求，确保规范具有地方针对性和实用性。通过以上原则，确保标准既符合老年患者的实际需求，又具备可操作性和地方特色，推动中医医院老年病科病房适老化服务的规范化发展。</w:t>
      </w:r>
    </w:p>
    <w:p w14:paraId="43C66EE5">
      <w:pPr>
        <w:spacing w:before="156" w:beforeLines="50" w:after="156" w:afterLines="50"/>
        <w:ind w:firstLine="480"/>
        <w:rPr>
          <w:rFonts w:hint="eastAsia" w:ascii="黑体" w:hAnsi="黑体" w:eastAsia="黑体"/>
          <w:sz w:val="28"/>
          <w:szCs w:val="28"/>
        </w:rPr>
      </w:pPr>
      <w:r>
        <w:rPr>
          <w:rFonts w:hint="eastAsia" w:ascii="黑体" w:hAnsi="黑体" w:eastAsia="黑体"/>
          <w:sz w:val="28"/>
          <w:szCs w:val="28"/>
        </w:rPr>
        <w:t>三、</w:t>
      </w:r>
      <w:r>
        <w:rPr>
          <w:rFonts w:ascii="黑体" w:hAnsi="黑体" w:eastAsia="黑体"/>
          <w:sz w:val="28"/>
          <w:szCs w:val="28"/>
        </w:rPr>
        <w:t>标准框架、主要内容及其确定依据</w:t>
      </w:r>
    </w:p>
    <w:p w14:paraId="4AD6BB8D">
      <w:pPr>
        <w:spacing w:after="156" w:afterLines="50"/>
        <w:ind w:firstLine="480"/>
        <w:rPr>
          <w:rFonts w:hint="eastAsia" w:ascii="宋体" w:hAnsi="宋体"/>
          <w:sz w:val="28"/>
          <w:szCs w:val="28"/>
        </w:rPr>
      </w:pPr>
      <w:r>
        <w:rPr>
          <w:rFonts w:hint="eastAsia" w:ascii="宋体" w:hAnsi="宋体"/>
          <w:sz w:val="28"/>
          <w:szCs w:val="28"/>
        </w:rPr>
        <w:t>标准框架及主要内容见表1。</w:t>
      </w:r>
    </w:p>
    <w:p w14:paraId="742B2C8F">
      <w:pPr>
        <w:spacing w:line="360" w:lineRule="auto"/>
        <w:ind w:firstLine="480"/>
        <w:rPr>
          <w:rFonts w:ascii="Times New Roman" w:hAnsi="Times New Roman"/>
          <w:sz w:val="24"/>
        </w:rPr>
      </w:pPr>
      <w:r>
        <w:rPr>
          <w:rFonts w:hint="eastAsia" w:ascii="Times New Roman" w:hAnsi="Times New Roman"/>
          <w:sz w:val="24"/>
        </w:rPr>
        <w:t>表1</w:t>
      </w:r>
      <w:r>
        <w:rPr>
          <w:rFonts w:ascii="Times New Roman" w:hAnsi="Times New Roman"/>
          <w:sz w:val="24"/>
        </w:rPr>
        <w:t xml:space="preserve"> </w:t>
      </w:r>
      <w:r>
        <w:rPr>
          <w:rFonts w:hint="eastAsia" w:ascii="Times New Roman" w:hAnsi="Times New Roman"/>
          <w:sz w:val="24"/>
        </w:rPr>
        <w:t>标准主要内容</w:t>
      </w:r>
    </w:p>
    <w:tbl>
      <w:tblPr>
        <w:tblStyle w:val="6"/>
        <w:tblW w:w="488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470"/>
        <w:gridCol w:w="5859"/>
      </w:tblGrid>
      <w:tr w14:paraId="5845D2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3" w:type="pct"/>
            <w:vAlign w:val="center"/>
          </w:tcPr>
          <w:p w14:paraId="449C96BE">
            <w:pPr>
              <w:spacing w:line="360" w:lineRule="auto"/>
              <w:ind w:firstLine="480"/>
              <w:rPr>
                <w:rFonts w:ascii="Times New Roman" w:hAnsi="Times New Roman" w:eastAsia="黑体"/>
                <w:sz w:val="24"/>
              </w:rPr>
            </w:pPr>
            <w:r>
              <w:rPr>
                <w:rFonts w:hint="eastAsia" w:ascii="Times New Roman" w:hAnsi="Times New Roman" w:eastAsia="黑体"/>
                <w:sz w:val="24"/>
              </w:rPr>
              <w:t>章条编号</w:t>
            </w:r>
          </w:p>
        </w:tc>
        <w:tc>
          <w:tcPr>
            <w:tcW w:w="3517" w:type="pct"/>
            <w:vAlign w:val="center"/>
          </w:tcPr>
          <w:p w14:paraId="76580AEC">
            <w:pPr>
              <w:spacing w:line="360" w:lineRule="auto"/>
              <w:ind w:firstLine="480"/>
              <w:rPr>
                <w:rFonts w:ascii="Times New Roman" w:hAnsi="Times New Roman" w:eastAsia="黑体"/>
                <w:sz w:val="24"/>
              </w:rPr>
            </w:pPr>
            <w:r>
              <w:rPr>
                <w:rFonts w:hint="eastAsia" w:ascii="Times New Roman" w:hAnsi="Times New Roman" w:eastAsia="黑体"/>
                <w:sz w:val="24"/>
              </w:rPr>
              <w:t>标题</w:t>
            </w:r>
          </w:p>
        </w:tc>
      </w:tr>
      <w:tr w14:paraId="6736A4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3" w:type="pct"/>
            <w:vAlign w:val="center"/>
          </w:tcPr>
          <w:p w14:paraId="4F81F7FB">
            <w:pPr>
              <w:spacing w:line="360" w:lineRule="auto"/>
              <w:ind w:firstLine="480"/>
              <w:rPr>
                <w:rFonts w:ascii="Times New Roman" w:hAnsi="Times New Roman"/>
                <w:sz w:val="24"/>
              </w:rPr>
            </w:pPr>
            <w:r>
              <w:rPr>
                <w:rFonts w:hint="eastAsia" w:ascii="Times New Roman" w:hAnsi="Times New Roman"/>
                <w:sz w:val="24"/>
              </w:rPr>
              <w:t>1</w:t>
            </w:r>
          </w:p>
        </w:tc>
        <w:tc>
          <w:tcPr>
            <w:tcW w:w="3517" w:type="pct"/>
          </w:tcPr>
          <w:p w14:paraId="05202BC8">
            <w:pPr>
              <w:spacing w:line="360" w:lineRule="auto"/>
              <w:ind w:firstLine="480"/>
              <w:rPr>
                <w:rFonts w:ascii="Times New Roman" w:hAnsi="Times New Roman"/>
                <w:sz w:val="24"/>
              </w:rPr>
            </w:pPr>
            <w:r>
              <w:rPr>
                <w:rFonts w:hint="eastAsia" w:ascii="Times New Roman" w:hAnsi="Times New Roman"/>
                <w:sz w:val="24"/>
              </w:rPr>
              <w:t>范围</w:t>
            </w:r>
          </w:p>
        </w:tc>
      </w:tr>
      <w:tr w14:paraId="6BB067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3" w:type="pct"/>
            <w:vAlign w:val="center"/>
          </w:tcPr>
          <w:p w14:paraId="398635AA">
            <w:pPr>
              <w:spacing w:line="360" w:lineRule="auto"/>
              <w:ind w:firstLine="480"/>
              <w:rPr>
                <w:rFonts w:ascii="Times New Roman" w:hAnsi="Times New Roman"/>
                <w:sz w:val="24"/>
              </w:rPr>
            </w:pPr>
            <w:r>
              <w:rPr>
                <w:rFonts w:hint="eastAsia" w:ascii="Times New Roman" w:hAnsi="Times New Roman"/>
                <w:sz w:val="24"/>
              </w:rPr>
              <w:t>2</w:t>
            </w:r>
          </w:p>
        </w:tc>
        <w:tc>
          <w:tcPr>
            <w:tcW w:w="3517" w:type="pct"/>
          </w:tcPr>
          <w:p w14:paraId="4B782321">
            <w:pPr>
              <w:spacing w:line="360" w:lineRule="auto"/>
              <w:ind w:firstLine="480"/>
              <w:rPr>
                <w:rFonts w:ascii="Times New Roman" w:hAnsi="Times New Roman"/>
                <w:sz w:val="24"/>
              </w:rPr>
            </w:pPr>
            <w:r>
              <w:rPr>
                <w:rFonts w:hint="eastAsia" w:ascii="Times New Roman" w:hAnsi="Times New Roman"/>
                <w:sz w:val="24"/>
              </w:rPr>
              <w:t>规范性引用文件</w:t>
            </w:r>
          </w:p>
        </w:tc>
      </w:tr>
      <w:tr w14:paraId="3216CA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3" w:type="pct"/>
            <w:vAlign w:val="center"/>
          </w:tcPr>
          <w:p w14:paraId="7F4850AC">
            <w:pPr>
              <w:spacing w:line="360" w:lineRule="auto"/>
              <w:ind w:firstLine="480"/>
              <w:rPr>
                <w:rFonts w:ascii="Times New Roman" w:hAnsi="Times New Roman"/>
                <w:sz w:val="24"/>
              </w:rPr>
            </w:pPr>
            <w:r>
              <w:rPr>
                <w:rFonts w:hint="eastAsia" w:ascii="Times New Roman" w:hAnsi="Times New Roman"/>
                <w:sz w:val="24"/>
              </w:rPr>
              <w:t>3</w:t>
            </w:r>
          </w:p>
        </w:tc>
        <w:tc>
          <w:tcPr>
            <w:tcW w:w="3517" w:type="pct"/>
          </w:tcPr>
          <w:p w14:paraId="7BEF37F1">
            <w:pPr>
              <w:spacing w:line="360" w:lineRule="auto"/>
              <w:ind w:firstLine="480"/>
              <w:rPr>
                <w:rFonts w:ascii="Times New Roman" w:hAnsi="Times New Roman"/>
                <w:sz w:val="24"/>
              </w:rPr>
            </w:pPr>
            <w:r>
              <w:rPr>
                <w:rFonts w:hint="eastAsia" w:ascii="Times New Roman" w:hAnsi="Times New Roman"/>
                <w:sz w:val="24"/>
              </w:rPr>
              <w:t>术语和定义</w:t>
            </w:r>
          </w:p>
        </w:tc>
      </w:tr>
      <w:tr w14:paraId="2C85C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3" w:type="pct"/>
            <w:vAlign w:val="center"/>
          </w:tcPr>
          <w:p w14:paraId="6D530028">
            <w:pPr>
              <w:spacing w:line="360" w:lineRule="auto"/>
              <w:ind w:firstLine="480"/>
              <w:rPr>
                <w:rFonts w:ascii="Times New Roman" w:hAnsi="Times New Roman"/>
                <w:sz w:val="24"/>
              </w:rPr>
            </w:pPr>
            <w:r>
              <w:rPr>
                <w:rFonts w:hint="eastAsia" w:ascii="Times New Roman" w:hAnsi="Times New Roman"/>
                <w:sz w:val="24"/>
              </w:rPr>
              <w:t>4</w:t>
            </w:r>
          </w:p>
        </w:tc>
        <w:tc>
          <w:tcPr>
            <w:tcW w:w="3517" w:type="pct"/>
          </w:tcPr>
          <w:p w14:paraId="7B523697">
            <w:pPr>
              <w:spacing w:line="360" w:lineRule="auto"/>
              <w:ind w:firstLine="480"/>
              <w:rPr>
                <w:rFonts w:hint="eastAsia" w:ascii="Times New Roman" w:hAnsi="Times New Roman"/>
                <w:sz w:val="24"/>
              </w:rPr>
            </w:pPr>
            <w:r>
              <w:rPr>
                <w:rFonts w:hint="eastAsia" w:ascii="Times New Roman" w:hAnsi="Times New Roman"/>
                <w:sz w:val="24"/>
              </w:rPr>
              <w:t>基本要求</w:t>
            </w:r>
          </w:p>
        </w:tc>
      </w:tr>
      <w:tr w14:paraId="08D7EB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3" w:type="pct"/>
          </w:tcPr>
          <w:p w14:paraId="56C9D41F">
            <w:pPr>
              <w:spacing w:line="360" w:lineRule="auto"/>
              <w:ind w:firstLine="480"/>
              <w:rPr>
                <w:rFonts w:ascii="Times New Roman" w:hAnsi="Times New Roman"/>
                <w:sz w:val="24"/>
              </w:rPr>
            </w:pPr>
            <w:r>
              <w:rPr>
                <w:rFonts w:hint="eastAsia" w:ascii="Times New Roman" w:hAnsi="Times New Roman"/>
                <w:sz w:val="24"/>
              </w:rPr>
              <w:t>5</w:t>
            </w:r>
          </w:p>
        </w:tc>
        <w:tc>
          <w:tcPr>
            <w:tcW w:w="3517" w:type="pct"/>
          </w:tcPr>
          <w:p w14:paraId="476EFD5A">
            <w:pPr>
              <w:spacing w:line="360" w:lineRule="auto"/>
              <w:ind w:firstLine="480"/>
              <w:rPr>
                <w:rFonts w:hint="eastAsia" w:ascii="Times New Roman" w:hAnsi="Times New Roman"/>
                <w:sz w:val="24"/>
              </w:rPr>
            </w:pPr>
            <w:r>
              <w:rPr>
                <w:rFonts w:hint="eastAsia" w:ascii="Times New Roman" w:hAnsi="Times New Roman"/>
                <w:sz w:val="24"/>
              </w:rPr>
              <w:t>适老化文化</w:t>
            </w:r>
          </w:p>
        </w:tc>
      </w:tr>
      <w:tr w14:paraId="17D690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3" w:type="pct"/>
            <w:vAlign w:val="center"/>
          </w:tcPr>
          <w:p w14:paraId="19D4F813">
            <w:pPr>
              <w:spacing w:line="360" w:lineRule="auto"/>
              <w:ind w:firstLine="480"/>
              <w:rPr>
                <w:rFonts w:ascii="Times New Roman" w:hAnsi="Times New Roman"/>
                <w:sz w:val="24"/>
              </w:rPr>
            </w:pPr>
            <w:r>
              <w:rPr>
                <w:rFonts w:hint="eastAsia" w:ascii="Times New Roman" w:hAnsi="Times New Roman"/>
                <w:sz w:val="24"/>
              </w:rPr>
              <w:t>6</w:t>
            </w:r>
          </w:p>
        </w:tc>
        <w:tc>
          <w:tcPr>
            <w:tcW w:w="3517" w:type="pct"/>
          </w:tcPr>
          <w:p w14:paraId="4426C59A">
            <w:pPr>
              <w:spacing w:line="360" w:lineRule="auto"/>
              <w:ind w:firstLine="480"/>
              <w:rPr>
                <w:rFonts w:ascii="Times New Roman" w:hAnsi="Times New Roman"/>
                <w:sz w:val="24"/>
              </w:rPr>
            </w:pPr>
            <w:r>
              <w:rPr>
                <w:rFonts w:hint="eastAsia" w:ascii="Times New Roman" w:hAnsi="Times New Roman"/>
                <w:sz w:val="24"/>
              </w:rPr>
              <w:t>适老化环境</w:t>
            </w:r>
          </w:p>
        </w:tc>
      </w:tr>
      <w:tr w14:paraId="431410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3" w:type="pct"/>
            <w:vAlign w:val="center"/>
          </w:tcPr>
          <w:p w14:paraId="14F0DEC6">
            <w:pPr>
              <w:spacing w:line="360" w:lineRule="auto"/>
              <w:ind w:firstLine="480"/>
              <w:rPr>
                <w:rFonts w:ascii="Times New Roman" w:hAnsi="Times New Roman"/>
                <w:sz w:val="24"/>
              </w:rPr>
            </w:pPr>
            <w:r>
              <w:rPr>
                <w:rFonts w:hint="eastAsia" w:ascii="Times New Roman" w:hAnsi="Times New Roman"/>
                <w:sz w:val="24"/>
              </w:rPr>
              <w:t>7</w:t>
            </w:r>
          </w:p>
        </w:tc>
        <w:tc>
          <w:tcPr>
            <w:tcW w:w="3517" w:type="pct"/>
          </w:tcPr>
          <w:p w14:paraId="13D71099">
            <w:pPr>
              <w:spacing w:line="360" w:lineRule="auto"/>
              <w:ind w:firstLine="480"/>
              <w:rPr>
                <w:rFonts w:hint="eastAsia" w:ascii="Times New Roman" w:hAnsi="Times New Roman"/>
                <w:sz w:val="24"/>
              </w:rPr>
            </w:pPr>
            <w:r>
              <w:rPr>
                <w:rFonts w:hint="eastAsia" w:ascii="Times New Roman" w:hAnsi="Times New Roman"/>
                <w:sz w:val="24"/>
              </w:rPr>
              <w:t>适老化医疗服务</w:t>
            </w:r>
          </w:p>
        </w:tc>
      </w:tr>
      <w:tr w14:paraId="150887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3" w:type="pct"/>
            <w:vAlign w:val="center"/>
          </w:tcPr>
          <w:p w14:paraId="4403EEFB">
            <w:pPr>
              <w:spacing w:line="360" w:lineRule="auto"/>
              <w:ind w:firstLine="480"/>
              <w:rPr>
                <w:rFonts w:ascii="Times New Roman" w:hAnsi="Times New Roman"/>
                <w:sz w:val="24"/>
              </w:rPr>
            </w:pPr>
            <w:r>
              <w:rPr>
                <w:rFonts w:hint="eastAsia" w:ascii="Times New Roman" w:hAnsi="Times New Roman"/>
                <w:sz w:val="24"/>
              </w:rPr>
              <w:t>8</w:t>
            </w:r>
          </w:p>
        </w:tc>
        <w:tc>
          <w:tcPr>
            <w:tcW w:w="3517" w:type="pct"/>
          </w:tcPr>
          <w:p w14:paraId="7BCD233A">
            <w:pPr>
              <w:spacing w:line="360" w:lineRule="auto"/>
              <w:ind w:firstLine="480"/>
              <w:rPr>
                <w:rFonts w:hint="eastAsia" w:ascii="Times New Roman" w:hAnsi="Times New Roman"/>
                <w:sz w:val="24"/>
              </w:rPr>
            </w:pPr>
            <w:r>
              <w:rPr>
                <w:rFonts w:hint="eastAsia" w:ascii="Times New Roman" w:hAnsi="Times New Roman"/>
                <w:sz w:val="24"/>
              </w:rPr>
              <w:t>服务评价与改进</w:t>
            </w:r>
          </w:p>
        </w:tc>
      </w:tr>
      <w:tr w14:paraId="42411A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3" w:type="pct"/>
            <w:vAlign w:val="center"/>
          </w:tcPr>
          <w:p w14:paraId="60BB291B">
            <w:pPr>
              <w:spacing w:line="360" w:lineRule="auto"/>
              <w:ind w:firstLine="480"/>
              <w:rPr>
                <w:rFonts w:hint="eastAsia" w:ascii="Times New Roman" w:hAnsi="Times New Roman"/>
                <w:sz w:val="24"/>
              </w:rPr>
            </w:pPr>
          </w:p>
        </w:tc>
        <w:tc>
          <w:tcPr>
            <w:tcW w:w="3517" w:type="pct"/>
          </w:tcPr>
          <w:p w14:paraId="76EDB668">
            <w:pPr>
              <w:spacing w:line="360" w:lineRule="auto"/>
              <w:ind w:firstLine="480"/>
              <w:rPr>
                <w:rFonts w:hint="default" w:ascii="宋体" w:hAnsi="宋体" w:eastAsia="宋体" w:cs="宋体"/>
                <w:sz w:val="24"/>
                <w:lang w:val="en-US" w:eastAsia="zh-CN"/>
              </w:rPr>
            </w:pPr>
            <w:r>
              <w:rPr>
                <w:rFonts w:hint="eastAsia" w:ascii="宋体" w:hAnsi="宋体" w:cs="宋体"/>
                <w:sz w:val="24"/>
                <w:lang w:val="en-US" w:eastAsia="zh-CN"/>
              </w:rPr>
              <w:t>参考文献</w:t>
            </w:r>
          </w:p>
        </w:tc>
      </w:tr>
    </w:tbl>
    <w:p w14:paraId="576A6898">
      <w:pPr>
        <w:pStyle w:val="5"/>
        <w:shd w:val="clear" w:color="auto" w:fill="FFFFFF"/>
        <w:spacing w:before="75" w:beforeAutospacing="0" w:after="75" w:afterAutospacing="0"/>
        <w:ind w:firstLine="480"/>
        <w:jc w:val="both"/>
        <w:rPr>
          <w:rFonts w:hint="eastAsia"/>
          <w:sz w:val="28"/>
          <w:szCs w:val="28"/>
        </w:rPr>
      </w:pPr>
      <w:r>
        <w:rPr>
          <w:rFonts w:hint="eastAsia"/>
          <w:sz w:val="28"/>
          <w:szCs w:val="28"/>
        </w:rPr>
        <w:t>标准框架和主要内容的确定依据包括国家及行业标准、老年患者的实际需求、中医医院的特色优势以及广东省的地域特点。通过科学、系统的框架设计，确保标准内容全面、可操作性强，能够有效提升中医医院老年病科病房的适老化服务水平，为老年患者提供安全、舒适、优质的医疗服务</w:t>
      </w:r>
    </w:p>
    <w:p w14:paraId="12FA535E">
      <w:pPr>
        <w:shd w:val="clear" w:color="auto" w:fill="FFFFFF"/>
        <w:spacing w:before="156" w:beforeLines="50" w:beforeAutospacing="0" w:after="156" w:afterLines="50" w:afterAutospacing="0"/>
        <w:ind w:firstLine="480"/>
        <w:jc w:val="both"/>
        <w:rPr>
          <w:sz w:val="28"/>
          <w:szCs w:val="28"/>
        </w:rPr>
      </w:pPr>
      <w:r>
        <w:rPr>
          <w:rFonts w:hint="eastAsia" w:ascii="黑体" w:hAnsi="黑体" w:eastAsia="黑体"/>
          <w:sz w:val="28"/>
          <w:szCs w:val="28"/>
        </w:rPr>
        <w:t>四</w:t>
      </w:r>
      <w:r>
        <w:rPr>
          <w:rFonts w:ascii="黑体" w:hAnsi="黑体" w:eastAsia="黑体"/>
          <w:sz w:val="28"/>
          <w:szCs w:val="28"/>
        </w:rPr>
        <w:t>、标准有何先进性或特色性</w:t>
      </w:r>
    </w:p>
    <w:p w14:paraId="35043A28">
      <w:pPr>
        <w:pStyle w:val="5"/>
        <w:shd w:val="clear" w:color="auto" w:fill="FFFFFF"/>
        <w:spacing w:before="75" w:beforeAutospacing="0" w:after="75" w:afterAutospacing="0"/>
        <w:ind w:firstLine="480"/>
        <w:jc w:val="both"/>
        <w:rPr>
          <w:sz w:val="28"/>
          <w:szCs w:val="28"/>
        </w:rPr>
      </w:pPr>
      <w:r>
        <w:rPr>
          <w:rFonts w:hint="eastAsia"/>
          <w:sz w:val="28"/>
          <w:szCs w:val="28"/>
        </w:rPr>
        <w:t>针对中医医院老年病科病房适老化服务标准，尚无专门的国家标准、行业标准及地方标准。国家中医药管理局《关于进一步加强中医医院老年病科建设的通知》，提出切实提高中医药服务老年健康的质量和水平，推动中医医院老年病科高质量发展。同时，建议中医医院应从文化、服务、环境等方面，加快老年友善医疗机构建设，方便老年人看病就医。</w:t>
      </w:r>
    </w:p>
    <w:p w14:paraId="6BF87A7F">
      <w:pPr>
        <w:pStyle w:val="5"/>
        <w:shd w:val="clear" w:color="auto" w:fill="FFFFFF"/>
        <w:spacing w:before="75" w:beforeAutospacing="0" w:after="75" w:afterAutospacing="0"/>
        <w:ind w:firstLine="560" w:firstLineChars="200"/>
        <w:jc w:val="both"/>
        <w:rPr>
          <w:rFonts w:hint="eastAsia"/>
          <w:sz w:val="28"/>
          <w:szCs w:val="28"/>
        </w:rPr>
      </w:pPr>
      <w:r>
        <w:rPr>
          <w:rFonts w:hint="eastAsia"/>
          <w:sz w:val="28"/>
          <w:szCs w:val="28"/>
        </w:rPr>
        <w:t>通过借鉴国内外先进经验、融合现代科技、突出中医特色、结合地域文化以及注重人文关怀，本标准在先进性与特色性方面得到了充分体现。这不仅提升了中医医院老年病科病房的服务水平，也为全国适老化服务提供了可借鉴的地方标准范例，具有重要的推广价值和社会意义。</w:t>
      </w:r>
    </w:p>
    <w:p w14:paraId="09BF9422">
      <w:pPr>
        <w:spacing w:before="156" w:beforeLines="50" w:after="156" w:afterLines="50"/>
        <w:ind w:firstLine="480"/>
        <w:rPr>
          <w:rFonts w:hint="eastAsia" w:ascii="黑体" w:hAnsi="黑体" w:eastAsia="黑体"/>
          <w:sz w:val="28"/>
          <w:szCs w:val="28"/>
        </w:rPr>
      </w:pPr>
      <w:r>
        <w:rPr>
          <w:rFonts w:hint="eastAsia" w:ascii="黑体" w:hAnsi="黑体" w:eastAsia="黑体"/>
          <w:sz w:val="28"/>
          <w:szCs w:val="28"/>
        </w:rPr>
        <w:t>五</w:t>
      </w:r>
      <w:r>
        <w:rPr>
          <w:rFonts w:ascii="黑体" w:hAnsi="黑体" w:eastAsia="黑体"/>
          <w:sz w:val="28"/>
          <w:szCs w:val="28"/>
        </w:rPr>
        <w:t>、标准调研、研讨、征求意见情况</w:t>
      </w:r>
    </w:p>
    <w:p w14:paraId="0FA3918A">
      <w:pPr>
        <w:spacing w:before="156" w:beforeLines="50" w:after="156" w:afterLines="50"/>
        <w:ind w:firstLine="480"/>
        <w:rPr>
          <w:rFonts w:hint="eastAsia" w:ascii="宋体" w:hAnsi="宋体"/>
          <w:sz w:val="28"/>
          <w:szCs w:val="28"/>
        </w:rPr>
      </w:pPr>
      <w:r>
        <w:rPr>
          <w:rFonts w:hint="eastAsia" w:ascii="宋体" w:hAnsi="宋体"/>
          <w:sz w:val="28"/>
          <w:szCs w:val="28"/>
        </w:rPr>
        <w:t>（一）成立标准起草小组，制定工作方案</w:t>
      </w:r>
    </w:p>
    <w:p w14:paraId="11131701">
      <w:pPr>
        <w:spacing w:before="156" w:beforeLines="50" w:after="156" w:afterLines="50"/>
        <w:ind w:firstLine="480"/>
        <w:rPr>
          <w:rFonts w:hint="eastAsia" w:ascii="宋体" w:hAnsi="宋体"/>
          <w:sz w:val="28"/>
          <w:szCs w:val="28"/>
        </w:rPr>
      </w:pPr>
      <w:r>
        <w:rPr>
          <w:rFonts w:hint="eastAsia" w:ascii="宋体" w:hAnsi="宋体"/>
          <w:sz w:val="28"/>
          <w:szCs w:val="28"/>
        </w:rPr>
        <w:t>2024年12月，成立标准起草小组，制定标准编制工作方案和进度安排表。</w:t>
      </w:r>
    </w:p>
    <w:p w14:paraId="246639DC">
      <w:pPr>
        <w:spacing w:before="156" w:beforeLines="50" w:after="156" w:afterLines="50"/>
        <w:ind w:firstLine="480"/>
        <w:rPr>
          <w:rFonts w:hint="eastAsia" w:ascii="宋体" w:hAnsi="宋体"/>
          <w:sz w:val="28"/>
          <w:szCs w:val="28"/>
        </w:rPr>
      </w:pPr>
      <w:r>
        <w:rPr>
          <w:rFonts w:hint="eastAsia" w:ascii="宋体" w:hAnsi="宋体"/>
          <w:sz w:val="28"/>
          <w:szCs w:val="28"/>
        </w:rPr>
        <w:t>专家组:由广东省中医院标准化办公室、标准化领域的专家共同组成专家小组。负责明确标准内容的方向、原则进行专业指导,提供咨询。</w:t>
      </w:r>
    </w:p>
    <w:p w14:paraId="00C6851E">
      <w:pPr>
        <w:spacing w:before="156" w:beforeLines="50" w:after="156" w:afterLines="50"/>
        <w:ind w:firstLine="480"/>
        <w:rPr>
          <w:rFonts w:hint="eastAsia" w:ascii="宋体" w:hAnsi="宋体"/>
          <w:sz w:val="28"/>
          <w:szCs w:val="28"/>
        </w:rPr>
      </w:pPr>
      <w:r>
        <w:rPr>
          <w:rFonts w:hint="eastAsia" w:ascii="宋体" w:hAnsi="宋体"/>
          <w:sz w:val="28"/>
          <w:szCs w:val="28"/>
        </w:rPr>
        <w:t>工作组:由广东省中医院综合三科医护组成，经过标准化培训的人员组成工作小组,负责前期调研及标准文稿撰写。</w:t>
      </w:r>
    </w:p>
    <w:p w14:paraId="5AED7B5B">
      <w:pPr>
        <w:spacing w:before="156" w:beforeLines="50" w:after="156" w:afterLines="50"/>
        <w:ind w:firstLine="480"/>
        <w:rPr>
          <w:rFonts w:hint="eastAsia" w:ascii="宋体" w:hAnsi="宋体"/>
          <w:sz w:val="28"/>
          <w:szCs w:val="28"/>
        </w:rPr>
      </w:pPr>
      <w:r>
        <w:rPr>
          <w:rFonts w:hint="eastAsia" w:ascii="宋体" w:hAnsi="宋体"/>
          <w:sz w:val="28"/>
          <w:szCs w:val="28"/>
        </w:rPr>
        <w:t xml:space="preserve">（二）收集相关资料 </w:t>
      </w:r>
    </w:p>
    <w:p w14:paraId="63A23962">
      <w:pPr>
        <w:spacing w:before="156" w:beforeLines="50" w:after="156" w:afterLines="50"/>
        <w:ind w:firstLine="480"/>
        <w:rPr>
          <w:rFonts w:hint="eastAsia" w:ascii="宋体" w:hAnsi="宋体"/>
          <w:sz w:val="28"/>
          <w:szCs w:val="28"/>
        </w:rPr>
      </w:pPr>
      <w:r>
        <w:rPr>
          <w:rFonts w:hint="eastAsia" w:ascii="宋体" w:hAnsi="宋体"/>
          <w:sz w:val="28"/>
          <w:szCs w:val="28"/>
        </w:rPr>
        <w:t>标准起草小组根据标准制订的需要,对收集的国内外中医医院老年病科病房适老化服务的有关标准及行业标准制定有关方面的政策、资料和标准进行研究分析。调研内容包括：收集标准化工作开展要求的相关标准、文件、书籍、规章制度等关于标准制修订程序规范相关资料；收集、分析我国中医医院老年病科病房适老化服务的整体状况，包括文化、环境、服务、管理、服务评价及改进等方面，收集国内外权威机构或学术组织发布的相应标准或文献 、临床实践等。以保证所形成的标准既符合法律、法规、标准的要求，与目前所执行的标准相配套，又保证内涵上具有中医的特色。标准起草小组在经过大量的收集整理调研工作的基础上，提出中医医院老年病科病房适老化服务的整体标准框架应当包括：文化要求、环境要求、服务要求、管理要求、服务评价及改进要求等几项主要内容，并结合既往资料和经验撰写了初稿。</w:t>
      </w:r>
    </w:p>
    <w:p w14:paraId="61805C69">
      <w:pPr>
        <w:spacing w:before="156" w:beforeLines="50" w:after="156" w:afterLines="50"/>
        <w:ind w:firstLine="480"/>
        <w:rPr>
          <w:rFonts w:hint="eastAsia" w:ascii="宋体" w:hAnsi="宋体"/>
          <w:sz w:val="28"/>
          <w:szCs w:val="28"/>
        </w:rPr>
      </w:pPr>
      <w:r>
        <w:rPr>
          <w:rFonts w:hint="eastAsia" w:ascii="宋体" w:hAnsi="宋体"/>
          <w:sz w:val="28"/>
          <w:szCs w:val="28"/>
        </w:rPr>
        <w:t>（三）征求意见情况</w:t>
      </w:r>
    </w:p>
    <w:p w14:paraId="58D70CEA">
      <w:pPr>
        <w:spacing w:before="156" w:beforeLines="50" w:after="156" w:afterLines="50"/>
        <w:ind w:firstLine="480"/>
        <w:rPr>
          <w:rFonts w:hint="eastAsia" w:ascii="宋体" w:hAnsi="宋体"/>
          <w:sz w:val="28"/>
          <w:szCs w:val="28"/>
        </w:rPr>
      </w:pPr>
      <w:r>
        <w:rPr>
          <w:rFonts w:hint="eastAsia" w:ascii="宋体" w:hAnsi="宋体"/>
          <w:sz w:val="28"/>
          <w:szCs w:val="28"/>
        </w:rPr>
        <w:t>按标准化制定程序的要求，将征求意见稿发给了</w:t>
      </w:r>
      <w:r>
        <w:rPr>
          <w:rFonts w:hint="eastAsia" w:ascii="宋体" w:hAnsi="宋体"/>
          <w:sz w:val="28"/>
          <w:szCs w:val="28"/>
          <w:lang w:val="en-US" w:eastAsia="zh-CN"/>
        </w:rPr>
        <w:t>55</w:t>
      </w:r>
      <w:r>
        <w:rPr>
          <w:rFonts w:hint="eastAsia" w:ascii="宋体" w:hAnsi="宋体"/>
          <w:sz w:val="28"/>
          <w:szCs w:val="28"/>
        </w:rPr>
        <w:t>家单位征求意见，发送《征求意见稿》单位数：55个</w:t>
      </w:r>
      <w:r>
        <w:rPr>
          <w:rFonts w:hint="eastAsia" w:ascii="宋体" w:hAnsi="宋体"/>
          <w:sz w:val="28"/>
          <w:szCs w:val="28"/>
          <w:lang w:eastAsia="zh-CN"/>
        </w:rPr>
        <w:t>。</w:t>
      </w:r>
      <w:r>
        <w:rPr>
          <w:rFonts w:hint="eastAsia" w:ascii="宋体" w:hAnsi="宋体"/>
          <w:sz w:val="28"/>
          <w:szCs w:val="28"/>
          <w:lang w:val="en-US" w:eastAsia="zh-CN"/>
        </w:rPr>
        <w:t>截止至3月28日，</w:t>
      </w:r>
      <w:r>
        <w:rPr>
          <w:rFonts w:hint="eastAsia" w:ascii="宋体" w:hAnsi="宋体"/>
          <w:sz w:val="28"/>
          <w:szCs w:val="28"/>
        </w:rPr>
        <w:t>收到《征求意见稿》后回函的单位数：49个，没有回函的单位数：6个</w:t>
      </w:r>
      <w:r>
        <w:rPr>
          <w:rFonts w:hint="eastAsia" w:ascii="宋体" w:hAnsi="宋体"/>
          <w:sz w:val="28"/>
          <w:szCs w:val="28"/>
          <w:lang w:val="en-US" w:eastAsia="zh-CN"/>
        </w:rPr>
        <w:t>；</w:t>
      </w:r>
      <w:r>
        <w:rPr>
          <w:rFonts w:hint="eastAsia" w:ascii="宋体" w:hAnsi="宋体"/>
          <w:sz w:val="28"/>
          <w:szCs w:val="28"/>
        </w:rPr>
        <w:t>回函的单位中，有意见和建议的单位数：30个；无意见的单位数：19个</w:t>
      </w:r>
      <w:r>
        <w:rPr>
          <w:rFonts w:hint="eastAsia" w:ascii="宋体" w:hAnsi="宋体"/>
          <w:sz w:val="28"/>
          <w:szCs w:val="28"/>
          <w:lang w:val="en-US" w:eastAsia="zh-CN"/>
        </w:rPr>
        <w:t>；</w:t>
      </w:r>
      <w:r>
        <w:rPr>
          <w:rFonts w:hint="eastAsia" w:ascii="宋体" w:hAnsi="宋体"/>
          <w:sz w:val="28"/>
          <w:szCs w:val="28"/>
        </w:rPr>
        <w:t>回函的意见或建议数：56条；其中采纳49条，部分采纳3条，不采纳4条。将根据收集的意见再次修改并完善标准，对稿件进行整理后，形成送审稿，递送相关部门审核。</w:t>
      </w:r>
    </w:p>
    <w:p w14:paraId="04393579">
      <w:pPr>
        <w:spacing w:before="156" w:beforeLines="50" w:after="156" w:afterLines="50"/>
        <w:ind w:firstLine="480"/>
        <w:rPr>
          <w:rFonts w:hint="eastAsia" w:ascii="黑体" w:hAnsi="黑体" w:eastAsia="黑体"/>
          <w:sz w:val="28"/>
          <w:szCs w:val="28"/>
        </w:rPr>
      </w:pPr>
      <w:r>
        <w:rPr>
          <w:rFonts w:hint="eastAsia" w:ascii="黑体" w:hAnsi="黑体" w:eastAsia="黑体"/>
          <w:sz w:val="28"/>
          <w:szCs w:val="28"/>
        </w:rPr>
        <w:t>六</w:t>
      </w:r>
      <w:r>
        <w:rPr>
          <w:rFonts w:ascii="黑体" w:hAnsi="黑体" w:eastAsia="黑体"/>
          <w:sz w:val="28"/>
          <w:szCs w:val="28"/>
        </w:rPr>
        <w:t>、技术指标设置的科学性和可行性</w:t>
      </w:r>
    </w:p>
    <w:p w14:paraId="2C79A1D5">
      <w:pPr>
        <w:spacing w:before="156" w:beforeLines="50" w:after="156" w:afterLines="50"/>
        <w:ind w:firstLine="480"/>
        <w:rPr>
          <w:rFonts w:ascii="宋体" w:hAnsi="宋体"/>
          <w:sz w:val="28"/>
          <w:szCs w:val="28"/>
        </w:rPr>
      </w:pPr>
      <w:r>
        <w:rPr>
          <w:rFonts w:hint="eastAsia" w:ascii="宋体" w:hAnsi="宋体"/>
          <w:sz w:val="28"/>
          <w:szCs w:val="28"/>
        </w:rPr>
        <w:t>本标准的技术指标设置皆参考行业标准或共识及临床实践的可行性为依据。</w:t>
      </w:r>
    </w:p>
    <w:p w14:paraId="70D49880">
      <w:pPr>
        <w:spacing w:before="156" w:beforeLines="50" w:after="156" w:afterLines="50"/>
        <w:ind w:firstLine="480"/>
        <w:rPr>
          <w:rFonts w:hint="eastAsia" w:ascii="黑体" w:hAnsi="黑体" w:eastAsia="黑体"/>
          <w:sz w:val="28"/>
          <w:szCs w:val="28"/>
        </w:rPr>
      </w:pPr>
      <w:r>
        <w:rPr>
          <w:rFonts w:hint="eastAsia" w:ascii="黑体" w:hAnsi="黑体" w:eastAsia="黑体"/>
          <w:sz w:val="28"/>
          <w:szCs w:val="28"/>
        </w:rPr>
        <w:t>七</w:t>
      </w:r>
      <w:r>
        <w:rPr>
          <w:rFonts w:ascii="黑体" w:hAnsi="黑体" w:eastAsia="黑体"/>
          <w:sz w:val="28"/>
          <w:szCs w:val="28"/>
        </w:rPr>
        <w:t>、与现行法律法规、强制性</w:t>
      </w:r>
      <w:r>
        <w:rPr>
          <w:rFonts w:hint="eastAsia" w:ascii="黑体" w:hAnsi="黑体" w:eastAsia="黑体"/>
          <w:sz w:val="28"/>
          <w:szCs w:val="28"/>
        </w:rPr>
        <w:t>国家</w:t>
      </w:r>
      <w:r>
        <w:rPr>
          <w:rFonts w:ascii="黑体" w:hAnsi="黑体" w:eastAsia="黑体"/>
          <w:sz w:val="28"/>
          <w:szCs w:val="28"/>
        </w:rPr>
        <w:t>标准等</w:t>
      </w:r>
      <w:r>
        <w:rPr>
          <w:rFonts w:hint="eastAsia" w:ascii="黑体" w:hAnsi="黑体" w:eastAsia="黑体"/>
          <w:sz w:val="28"/>
          <w:szCs w:val="28"/>
        </w:rPr>
        <w:t>的</w:t>
      </w:r>
      <w:r>
        <w:rPr>
          <w:rFonts w:ascii="黑体" w:hAnsi="黑体" w:eastAsia="黑体"/>
          <w:sz w:val="28"/>
          <w:szCs w:val="28"/>
        </w:rPr>
        <w:t>关系</w:t>
      </w:r>
    </w:p>
    <w:p w14:paraId="63EB9DA9">
      <w:pPr>
        <w:ind w:firstLine="480"/>
        <w:rPr>
          <w:rFonts w:hint="eastAsia" w:ascii="宋体" w:hAnsi="宋体"/>
          <w:sz w:val="28"/>
          <w:szCs w:val="28"/>
        </w:rPr>
      </w:pPr>
      <w:r>
        <w:rPr>
          <w:rFonts w:hint="eastAsia" w:ascii="宋体" w:hAnsi="宋体"/>
          <w:sz w:val="28"/>
          <w:szCs w:val="28"/>
        </w:rPr>
        <w:t>本标准符合国家相关法律、法规及相关国家标准，未违反相关法律法规及强制性标准。针对中医院医疗机构老年病科病房适老化服务标准，尚无专门的国家标准、行业标准及地方标准。</w:t>
      </w:r>
    </w:p>
    <w:p w14:paraId="264C075B">
      <w:pPr>
        <w:ind w:firstLine="480"/>
        <w:rPr>
          <w:rFonts w:hint="eastAsia" w:ascii="宋体" w:hAnsi="宋体"/>
          <w:sz w:val="28"/>
          <w:szCs w:val="28"/>
        </w:rPr>
      </w:pPr>
      <w:r>
        <w:rPr>
          <w:rFonts w:hint="eastAsia" w:ascii="宋体" w:hAnsi="宋体"/>
          <w:sz w:val="28"/>
          <w:szCs w:val="28"/>
        </w:rPr>
        <w:t>本标准引用了GB/T 24433-2009 老年人、残疾人康复服务信息规范、GB/T 43153-2023 居家养老上门服务基本规范、GB/T 20002.2-2008 标准中特定内容的起草 第2部分:老年人和残疾人的需求、GB 50763-2012 无障碍设计规范、GB/T 42195-2022 老年人能力评估规范、GB/T 16432-2016 康复辅助器具分类和术语、MZ/T 206-2023 老年人居家康复服务规范、MZ/T 174—2021养老机构康复辅助器具基本配置、DB 44∕T 1984-2017 养老机构服务规范临终关怀、DB 37/T 4086—2020 机构医养结合服务基本规范、DB 4403/T 399—2023 居家适老化改造与管理规范、DB 36/T 1980-2024 老年友善医疗机构建设规范、T/CACA 007-2016 药食同源药膳标准通则、T/CACM 006—2016 中医健康管理服务规范、中国康复辅助器具目录（2023年版）（中华人民共和国民政部）、《老年医学科建设与管理指南》、《中医医院老年病科建设与管理指南》。这些被引用的标准或国家文件，或是以老年人康复为主，或以老年居家康复为主，或以康复辅助器具为主，或以养老机构服务规范为主，或以老年友善医疗机构建设为主，或以居家适老化改造为主等，并没有专门确定医疗机构老年病科适老化服务规范。其中，2011年国家中医药管理局发布的文件《中医医院老年病科建设与管理指南》、2019年国家卫生健康委办公厅发布的文件《老年医学科建设与管理指南》，两份文件指南以科室的管理、建设、技术为主，适老化服务内容较少。</w:t>
      </w:r>
    </w:p>
    <w:p w14:paraId="2B45F94C">
      <w:pPr>
        <w:spacing w:before="156" w:beforeLines="50" w:after="156" w:afterLines="50"/>
        <w:ind w:firstLine="480"/>
        <w:rPr>
          <w:rFonts w:hint="eastAsia" w:ascii="黑体" w:hAnsi="黑体" w:eastAsia="黑体"/>
          <w:sz w:val="28"/>
          <w:szCs w:val="28"/>
        </w:rPr>
      </w:pPr>
      <w:r>
        <w:rPr>
          <w:rFonts w:hint="eastAsia" w:ascii="黑体" w:hAnsi="黑体" w:eastAsia="黑体"/>
          <w:sz w:val="28"/>
          <w:szCs w:val="28"/>
        </w:rPr>
        <w:t>八</w:t>
      </w:r>
      <w:r>
        <w:rPr>
          <w:rFonts w:ascii="黑体" w:hAnsi="黑体" w:eastAsia="黑体"/>
          <w:sz w:val="28"/>
          <w:szCs w:val="28"/>
        </w:rPr>
        <w:t>、与国际、国家、行业、</w:t>
      </w:r>
      <w:r>
        <w:rPr>
          <w:rFonts w:hint="eastAsia" w:ascii="黑体" w:hAnsi="黑体" w:eastAsia="黑体"/>
          <w:sz w:val="28"/>
          <w:szCs w:val="28"/>
        </w:rPr>
        <w:t>地方同类</w:t>
      </w:r>
      <w:r>
        <w:rPr>
          <w:rFonts w:ascii="黑体" w:hAnsi="黑体" w:eastAsia="黑体"/>
          <w:sz w:val="28"/>
          <w:szCs w:val="28"/>
        </w:rPr>
        <w:t>标准技术内容的对比情况，或者与测试的国外样品、样机的有关数据对比情况</w:t>
      </w:r>
      <w:r>
        <w:rPr>
          <w:rFonts w:hint="eastAsia" w:ascii="黑体" w:hAnsi="黑体" w:eastAsia="黑体"/>
          <w:sz w:val="28"/>
          <w:szCs w:val="28"/>
        </w:rPr>
        <w:t>，</w:t>
      </w:r>
      <w:r>
        <w:rPr>
          <w:rFonts w:ascii="黑体" w:hAnsi="黑体" w:eastAsia="黑体"/>
          <w:sz w:val="28"/>
          <w:szCs w:val="28"/>
        </w:rPr>
        <w:t>采标情况，以及是否合规引用或采用国际国外标准</w:t>
      </w:r>
    </w:p>
    <w:p w14:paraId="25C0BF35">
      <w:pPr>
        <w:ind w:firstLine="480"/>
        <w:rPr>
          <w:rFonts w:hint="eastAsia" w:ascii="宋体" w:hAnsi="宋体"/>
          <w:sz w:val="28"/>
          <w:szCs w:val="28"/>
        </w:rPr>
      </w:pPr>
      <w:r>
        <w:rPr>
          <w:rFonts w:hint="eastAsia" w:ascii="宋体" w:hAnsi="宋体"/>
          <w:sz w:val="28"/>
          <w:szCs w:val="28"/>
        </w:rPr>
        <w:t>针对中医医院老年病科病房适老化服务标准，尚无专门的国家标准、行业标准及地方标准。其中，与养老服务体系相关的国家标准有《老年人、残疾人康复服务信息规范》《标准中特定内容的起草 第2部分:老年人和残疾人的需求》《居家养老上门服务基本规范》《老年人能力评估规范》《无障碍设计规范》《老年保健服务规范》《养老机构基本规范》《用于老年人生活辅助的智能家电系统 通用安全要求》等，与养老服务体系相关的行业标准有《老年人居家康复服务规范》《养老机构康复辅助器具基本配置》《老年人健康管理技术规范》《老年人膳食指导》等，与与养老服务体系相关的地方标准有《老年友善医疗机构建设规范》《医养结合机构医疗服务规范》等。</w:t>
      </w:r>
    </w:p>
    <w:p w14:paraId="795A5483">
      <w:pPr>
        <w:ind w:firstLine="480"/>
        <w:rPr>
          <w:rFonts w:hint="eastAsia" w:ascii="宋体" w:hAnsi="宋体"/>
          <w:sz w:val="28"/>
          <w:szCs w:val="28"/>
        </w:rPr>
      </w:pPr>
      <w:r>
        <w:rPr>
          <w:rFonts w:hint="eastAsia" w:ascii="宋体" w:hAnsi="宋体"/>
          <w:sz w:val="28"/>
          <w:szCs w:val="28"/>
        </w:rPr>
        <w:t>2022年9月印发了《广东省养老服务标准体系规划与路线图（2022-2026年）》，结合以上标准分析，养老服务管理体系的标准以居家养老、养老机构、老年人康复为主，缺乏医疗机构老年病科适老化服务的相关标准。2011年国家中医药管理局发布了文件《中医医院老年病科建设与管理指南》，2019年国家卫生健康委办公厅发布了文件《老年医学科建设与管理指南》，本标准参考了两份文件，跟进适老化服务相关的进展，并结合广州地方特色，制订广东地方标准——中医医院老年病科病房适老化服务规范。</w:t>
      </w:r>
    </w:p>
    <w:p w14:paraId="5BFEA643">
      <w:pPr>
        <w:spacing w:before="156" w:beforeLines="50" w:after="156" w:afterLines="50"/>
        <w:ind w:firstLine="480"/>
        <w:rPr>
          <w:rFonts w:hint="eastAsia" w:ascii="黑体" w:hAnsi="黑体" w:eastAsia="黑体"/>
          <w:sz w:val="28"/>
          <w:szCs w:val="28"/>
        </w:rPr>
      </w:pPr>
      <w:r>
        <w:rPr>
          <w:rFonts w:ascii="黑体" w:hAnsi="黑体" w:eastAsia="黑体"/>
          <w:sz w:val="28"/>
          <w:szCs w:val="28"/>
        </w:rPr>
        <w:t>九、涉及专利的有关说明</w:t>
      </w:r>
    </w:p>
    <w:p w14:paraId="05FDCA90">
      <w:pPr>
        <w:spacing w:before="156" w:beforeLines="50" w:after="156" w:afterLines="50"/>
        <w:ind w:firstLine="480"/>
        <w:rPr>
          <w:rFonts w:ascii="宋体" w:hAnsi="宋体"/>
          <w:sz w:val="28"/>
          <w:szCs w:val="28"/>
        </w:rPr>
      </w:pPr>
      <w:r>
        <w:rPr>
          <w:rFonts w:hint="eastAsia" w:ascii="宋体" w:hAnsi="宋体"/>
          <w:sz w:val="28"/>
          <w:szCs w:val="28"/>
        </w:rPr>
        <w:t>本标准不涉及专利。</w:t>
      </w:r>
    </w:p>
    <w:p w14:paraId="733DB779">
      <w:pPr>
        <w:spacing w:before="156" w:beforeLines="50" w:after="156" w:afterLines="50"/>
        <w:ind w:firstLine="480"/>
        <w:rPr>
          <w:rFonts w:hint="eastAsia" w:ascii="黑体" w:hAnsi="黑体" w:eastAsia="黑体"/>
          <w:sz w:val="28"/>
          <w:szCs w:val="28"/>
        </w:rPr>
      </w:pPr>
      <w:r>
        <w:rPr>
          <w:rFonts w:hint="eastAsia" w:ascii="黑体" w:hAnsi="黑体" w:eastAsia="黑体"/>
          <w:sz w:val="28"/>
          <w:szCs w:val="28"/>
        </w:rPr>
        <w:t>十</w:t>
      </w:r>
      <w:r>
        <w:rPr>
          <w:rFonts w:ascii="黑体" w:hAnsi="黑体" w:eastAsia="黑体"/>
          <w:sz w:val="28"/>
          <w:szCs w:val="28"/>
        </w:rPr>
        <w:t>、其他应当说明的事项</w:t>
      </w:r>
    </w:p>
    <w:p w14:paraId="153723B1">
      <w:pPr>
        <w:ind w:firstLine="480"/>
        <w:rPr>
          <w:rFonts w:hint="eastAsia" w:ascii="宋体" w:hAnsi="宋体"/>
          <w:sz w:val="28"/>
          <w:szCs w:val="28"/>
        </w:rPr>
      </w:pPr>
      <w:r>
        <w:rPr>
          <w:rFonts w:hint="eastAsia" w:ascii="宋体" w:hAnsi="宋体"/>
          <w:sz w:val="28"/>
          <w:szCs w:val="28"/>
        </w:rPr>
        <w:t>无。</w:t>
      </w:r>
    </w:p>
    <w:p w14:paraId="7977B2FA">
      <w:pPr>
        <w:spacing w:before="156" w:beforeLines="50" w:after="156" w:afterLines="50"/>
        <w:ind w:firstLine="480"/>
        <w:rPr>
          <w:rFonts w:hint="eastAsia" w:ascii="黑体" w:hAnsi="黑体" w:eastAsia="黑体"/>
          <w:sz w:val="28"/>
          <w:szCs w:val="28"/>
        </w:rPr>
      </w:pPr>
      <w:r>
        <w:rPr>
          <w:rFonts w:ascii="黑体" w:hAnsi="黑体" w:eastAsia="黑体"/>
          <w:sz w:val="28"/>
          <w:szCs w:val="28"/>
        </w:rPr>
        <w:t>十</w:t>
      </w:r>
      <w:r>
        <w:rPr>
          <w:rFonts w:hint="eastAsia" w:ascii="黑体" w:hAnsi="黑体" w:eastAsia="黑体"/>
          <w:sz w:val="28"/>
          <w:szCs w:val="28"/>
        </w:rPr>
        <w:t>一</w:t>
      </w:r>
      <w:r>
        <w:rPr>
          <w:rFonts w:ascii="黑体" w:hAnsi="黑体" w:eastAsia="黑体"/>
          <w:sz w:val="28"/>
          <w:szCs w:val="28"/>
        </w:rPr>
        <w:t>、贯彻地方标准</w:t>
      </w:r>
      <w:r>
        <w:rPr>
          <w:rFonts w:hint="eastAsia" w:ascii="黑体" w:hAnsi="黑体" w:eastAsia="黑体"/>
          <w:sz w:val="28"/>
          <w:szCs w:val="28"/>
        </w:rPr>
        <w:t>的</w:t>
      </w:r>
      <w:r>
        <w:rPr>
          <w:rFonts w:ascii="黑体" w:hAnsi="黑体" w:eastAsia="黑体"/>
          <w:sz w:val="28"/>
          <w:szCs w:val="28"/>
        </w:rPr>
        <w:t>建议</w:t>
      </w:r>
    </w:p>
    <w:p w14:paraId="1F40D9B6">
      <w:pPr>
        <w:ind w:firstLine="480"/>
        <w:rPr>
          <w:rFonts w:hint="eastAsia" w:ascii="宋体" w:hAnsi="宋体"/>
          <w:sz w:val="28"/>
          <w:szCs w:val="28"/>
        </w:rPr>
      </w:pPr>
      <w:r>
        <w:rPr>
          <w:rFonts w:hint="eastAsia" w:ascii="宋体" w:hAnsi="宋体"/>
          <w:sz w:val="28"/>
          <w:szCs w:val="28"/>
        </w:rPr>
        <w:t>本标准批准发布实施后，将尽快通告相关使用单位，使其能尽早得到规范的正式文本。为保证本标准的顺利实施，使相关使用单位及时准确地了解和掌握其要求内容，积极组织开展多种形式的宣贯培训工作。相关使用单位在提供适老化服务时，可将本标准作为服务工作依据，规范服务过程，提升服务质量，助力国家中医医院适老化服务体系建设。为了全面掌握标准的执行情况，为进一步修改完善标准做准备，将积极联系相关使用单位，收集标准的执行情况以及所发现的问题，以便及时修订完善本标准。</w:t>
      </w:r>
    </w:p>
    <w:p w14:paraId="091FE6B3">
      <w:pPr>
        <w:ind w:firstLine="480"/>
        <w:rPr>
          <w:rFonts w:hint="eastAsia" w:ascii="宋体" w:hAnsi="宋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1AB"/>
    <w:rsid w:val="00007B38"/>
    <w:rsid w:val="00013BAC"/>
    <w:rsid w:val="000148C5"/>
    <w:rsid w:val="00021127"/>
    <w:rsid w:val="00054392"/>
    <w:rsid w:val="00074CE6"/>
    <w:rsid w:val="000A6903"/>
    <w:rsid w:val="000E5DD9"/>
    <w:rsid w:val="00101919"/>
    <w:rsid w:val="00104D46"/>
    <w:rsid w:val="00105AD9"/>
    <w:rsid w:val="00105D4E"/>
    <w:rsid w:val="00110907"/>
    <w:rsid w:val="00120D81"/>
    <w:rsid w:val="001369CB"/>
    <w:rsid w:val="00152F5D"/>
    <w:rsid w:val="0016006C"/>
    <w:rsid w:val="00161012"/>
    <w:rsid w:val="00197820"/>
    <w:rsid w:val="001A3B25"/>
    <w:rsid w:val="001C6F7F"/>
    <w:rsid w:val="001D4BC3"/>
    <w:rsid w:val="001E2A9D"/>
    <w:rsid w:val="001F0FD9"/>
    <w:rsid w:val="00230B2F"/>
    <w:rsid w:val="00241D2F"/>
    <w:rsid w:val="002533AA"/>
    <w:rsid w:val="0026421E"/>
    <w:rsid w:val="002652F1"/>
    <w:rsid w:val="0027159D"/>
    <w:rsid w:val="00276587"/>
    <w:rsid w:val="00281E1B"/>
    <w:rsid w:val="00287F52"/>
    <w:rsid w:val="002905F1"/>
    <w:rsid w:val="00297E9F"/>
    <w:rsid w:val="002A5172"/>
    <w:rsid w:val="002B4498"/>
    <w:rsid w:val="002C531C"/>
    <w:rsid w:val="002C7B85"/>
    <w:rsid w:val="002D5483"/>
    <w:rsid w:val="002E1C16"/>
    <w:rsid w:val="00302D16"/>
    <w:rsid w:val="003111CC"/>
    <w:rsid w:val="0031238B"/>
    <w:rsid w:val="0034024C"/>
    <w:rsid w:val="00340923"/>
    <w:rsid w:val="00340E11"/>
    <w:rsid w:val="00356BCC"/>
    <w:rsid w:val="00366449"/>
    <w:rsid w:val="0039037E"/>
    <w:rsid w:val="00393F1B"/>
    <w:rsid w:val="0039614F"/>
    <w:rsid w:val="003A684B"/>
    <w:rsid w:val="003B5477"/>
    <w:rsid w:val="003D1402"/>
    <w:rsid w:val="003D22A3"/>
    <w:rsid w:val="00410100"/>
    <w:rsid w:val="00420B3F"/>
    <w:rsid w:val="004258BD"/>
    <w:rsid w:val="00436A3F"/>
    <w:rsid w:val="00456299"/>
    <w:rsid w:val="004634E7"/>
    <w:rsid w:val="00465468"/>
    <w:rsid w:val="004655B8"/>
    <w:rsid w:val="004677E2"/>
    <w:rsid w:val="004815FD"/>
    <w:rsid w:val="00541E29"/>
    <w:rsid w:val="00552572"/>
    <w:rsid w:val="00572FB4"/>
    <w:rsid w:val="005964AA"/>
    <w:rsid w:val="00603705"/>
    <w:rsid w:val="0062602E"/>
    <w:rsid w:val="006261E3"/>
    <w:rsid w:val="00637384"/>
    <w:rsid w:val="00677AB4"/>
    <w:rsid w:val="00692972"/>
    <w:rsid w:val="006F35F8"/>
    <w:rsid w:val="00717F65"/>
    <w:rsid w:val="0073104E"/>
    <w:rsid w:val="00731682"/>
    <w:rsid w:val="007657F5"/>
    <w:rsid w:val="00772E4B"/>
    <w:rsid w:val="00795FEF"/>
    <w:rsid w:val="007B671B"/>
    <w:rsid w:val="007D4EB8"/>
    <w:rsid w:val="008060DA"/>
    <w:rsid w:val="0083555E"/>
    <w:rsid w:val="00844BEC"/>
    <w:rsid w:val="0084631B"/>
    <w:rsid w:val="008552F9"/>
    <w:rsid w:val="008619ED"/>
    <w:rsid w:val="00870B16"/>
    <w:rsid w:val="008738DE"/>
    <w:rsid w:val="008847D6"/>
    <w:rsid w:val="008940C8"/>
    <w:rsid w:val="008952FF"/>
    <w:rsid w:val="008A27C7"/>
    <w:rsid w:val="008C465F"/>
    <w:rsid w:val="008D40BC"/>
    <w:rsid w:val="009042CE"/>
    <w:rsid w:val="00942FEA"/>
    <w:rsid w:val="00970E2C"/>
    <w:rsid w:val="00986C06"/>
    <w:rsid w:val="009A181C"/>
    <w:rsid w:val="009B1A86"/>
    <w:rsid w:val="009B49BC"/>
    <w:rsid w:val="009B7179"/>
    <w:rsid w:val="009E103D"/>
    <w:rsid w:val="00A011D6"/>
    <w:rsid w:val="00A23320"/>
    <w:rsid w:val="00A46A2B"/>
    <w:rsid w:val="00A70E2C"/>
    <w:rsid w:val="00A75E02"/>
    <w:rsid w:val="00A86ABE"/>
    <w:rsid w:val="00A9237D"/>
    <w:rsid w:val="00AA0E67"/>
    <w:rsid w:val="00AC36C0"/>
    <w:rsid w:val="00B0568A"/>
    <w:rsid w:val="00B26210"/>
    <w:rsid w:val="00B538B6"/>
    <w:rsid w:val="00B55984"/>
    <w:rsid w:val="00B708A6"/>
    <w:rsid w:val="00B731AB"/>
    <w:rsid w:val="00BA1F6A"/>
    <w:rsid w:val="00BA647F"/>
    <w:rsid w:val="00BC136A"/>
    <w:rsid w:val="00BC29DC"/>
    <w:rsid w:val="00BD5AF7"/>
    <w:rsid w:val="00C06D38"/>
    <w:rsid w:val="00C57DD3"/>
    <w:rsid w:val="00C701E5"/>
    <w:rsid w:val="00C72CFC"/>
    <w:rsid w:val="00C8528B"/>
    <w:rsid w:val="00CA5A26"/>
    <w:rsid w:val="00CB2C0D"/>
    <w:rsid w:val="00CC77DC"/>
    <w:rsid w:val="00CE22D1"/>
    <w:rsid w:val="00CE4376"/>
    <w:rsid w:val="00D126E7"/>
    <w:rsid w:val="00D24B41"/>
    <w:rsid w:val="00D359E4"/>
    <w:rsid w:val="00D55423"/>
    <w:rsid w:val="00D74042"/>
    <w:rsid w:val="00D912E4"/>
    <w:rsid w:val="00DA2E18"/>
    <w:rsid w:val="00DD00A4"/>
    <w:rsid w:val="00DE66F4"/>
    <w:rsid w:val="00DE7259"/>
    <w:rsid w:val="00E01923"/>
    <w:rsid w:val="00E055F8"/>
    <w:rsid w:val="00E75B4A"/>
    <w:rsid w:val="00E85837"/>
    <w:rsid w:val="00E85AF7"/>
    <w:rsid w:val="00EA5130"/>
    <w:rsid w:val="00EC0803"/>
    <w:rsid w:val="00EC3931"/>
    <w:rsid w:val="00EE0D2B"/>
    <w:rsid w:val="00F0067B"/>
    <w:rsid w:val="00F20ACF"/>
    <w:rsid w:val="00F24D51"/>
    <w:rsid w:val="00F32413"/>
    <w:rsid w:val="00F41A56"/>
    <w:rsid w:val="00F4336E"/>
    <w:rsid w:val="00F44E11"/>
    <w:rsid w:val="00F51063"/>
    <w:rsid w:val="00F61CEB"/>
    <w:rsid w:val="00F627B9"/>
    <w:rsid w:val="00F91889"/>
    <w:rsid w:val="00FA7F55"/>
    <w:rsid w:val="00FB19D5"/>
    <w:rsid w:val="0CB23961"/>
    <w:rsid w:val="0CDB347F"/>
    <w:rsid w:val="12BB3B36"/>
    <w:rsid w:val="15BA4143"/>
    <w:rsid w:val="184D185B"/>
    <w:rsid w:val="18BF2661"/>
    <w:rsid w:val="200C4AD9"/>
    <w:rsid w:val="2A7B559E"/>
    <w:rsid w:val="2B610A88"/>
    <w:rsid w:val="31BC257A"/>
    <w:rsid w:val="33EE34E5"/>
    <w:rsid w:val="342101A7"/>
    <w:rsid w:val="447F4114"/>
    <w:rsid w:val="45FD1795"/>
    <w:rsid w:val="485A1120"/>
    <w:rsid w:val="4AC96555"/>
    <w:rsid w:val="4FCA54F1"/>
    <w:rsid w:val="52092E71"/>
    <w:rsid w:val="53003C83"/>
    <w:rsid w:val="578515EA"/>
    <w:rsid w:val="5A4D2307"/>
    <w:rsid w:val="5EFA4ACA"/>
    <w:rsid w:val="68B910F3"/>
    <w:rsid w:val="6C7C2B64"/>
    <w:rsid w:val="7AE41459"/>
    <w:rsid w:val="7CF2712C"/>
    <w:rsid w:val="DD2F4633"/>
    <w:rsid w:val="FFBE3F3C"/>
    <w:rsid w:val="FFF70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9">
    <w:name w:val="页脚 字符"/>
    <w:link w:val="3"/>
    <w:qFormat/>
    <w:uiPriority w:val="0"/>
    <w:rPr>
      <w:kern w:val="2"/>
      <w:sz w:val="18"/>
      <w:szCs w:val="18"/>
    </w:rPr>
  </w:style>
  <w:style w:type="character" w:customStyle="1" w:styleId="10">
    <w:name w:val="页眉 字符"/>
    <w:link w:val="4"/>
    <w:qFormat/>
    <w:uiPriority w:val="0"/>
    <w:rPr>
      <w:kern w:val="2"/>
      <w:sz w:val="18"/>
      <w:szCs w:val="18"/>
    </w:rPr>
  </w:style>
  <w:style w:type="character" w:customStyle="1" w:styleId="11">
    <w:name w:val="批注框文本 字符"/>
    <w:link w:val="2"/>
    <w:qFormat/>
    <w:uiPriority w:val="0"/>
    <w:rPr>
      <w:kern w:val="2"/>
      <w:sz w:val="18"/>
      <w:szCs w:val="18"/>
    </w:rPr>
  </w:style>
  <w:style w:type="paragraph" w:customStyle="1" w:styleId="12">
    <w:name w:val="标准文件_二级条标题"/>
    <w:next w:val="13"/>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4">
    <w:name w:val="标准文件_二级无标题"/>
    <w:basedOn w:val="12"/>
    <w:qFormat/>
    <w:uiPriority w:val="0"/>
    <w:pPr>
      <w:spacing w:before="0" w:beforeLines="0" w:after="0" w:afterLines="0"/>
      <w:outlineLvl w:val="9"/>
    </w:pPr>
    <w:rPr>
      <w:rFonts w:ascii="宋体" w:eastAsia="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4540</Words>
  <Characters>4793</Characters>
  <Lines>33</Lines>
  <Paragraphs>9</Paragraphs>
  <TotalTime>3</TotalTime>
  <ScaleCrop>false</ScaleCrop>
  <LinksUpToDate>false</LinksUpToDate>
  <CharactersWithSpaces>4838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2023-06-20T04:25:00Z</dcterms:created>
  <dc:creator>Administrator</dc:creator>
  <cp:lastModifiedBy>蔡倩</cp:lastModifiedBy>
  <cp:lastPrinted>2022-01-25T01:41:00Z</cp:lastPrinted>
  <dcterms:modified xsi:type="dcterms:W3CDTF">2025-04-17T12:42:35Z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3D0483B5F97B4E3E893CC8DD0F157685</vt:lpwstr>
  </property>
  <property fmtid="{D5CDD505-2E9C-101B-9397-08002B2CF9AE}" pid="4" name="KSOTemplateDocerSaveRecord">
    <vt:lpwstr>eyJoZGlkIjoiNDFjNTc1ODI4ZThiNzA5NmI0MTk4ZmIxNTA1ZDM4YTgiLCJ1c2VySWQiOiI2MTIzNDExMzMifQ==</vt:lpwstr>
  </property>
</Properties>
</file>